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E7" w:rsidRPr="00231F69" w:rsidRDefault="005B58E7">
      <w:pPr>
        <w:rPr>
          <w:rFonts w:ascii="Calibri" w:hAnsi="Calibri" w:cs="Calibri"/>
          <w:color w:val="000000"/>
          <w:sz w:val="28"/>
          <w:szCs w:val="28"/>
        </w:rPr>
      </w:pPr>
      <w:r w:rsidRPr="00231F69">
        <w:rPr>
          <w:rFonts w:ascii="Calibri" w:hAnsi="Calibri" w:cs="Calibri"/>
          <w:color w:val="000000"/>
          <w:sz w:val="28"/>
          <w:szCs w:val="28"/>
        </w:rPr>
        <w:t>Standard Work</w:t>
      </w:r>
      <w:r w:rsidR="00512BB5">
        <w:rPr>
          <w:rFonts w:ascii="Calibri" w:hAnsi="Calibri" w:cs="Calibri"/>
          <w:color w:val="000000"/>
          <w:sz w:val="28"/>
          <w:szCs w:val="28"/>
        </w:rPr>
        <w:t xml:space="preserve"> in the NHS</w:t>
      </w:r>
      <w:r w:rsidRPr="00231F69">
        <w:rPr>
          <w:rFonts w:ascii="Calibri" w:hAnsi="Calibri" w:cs="Calibri"/>
          <w:color w:val="000000"/>
          <w:sz w:val="28"/>
          <w:szCs w:val="28"/>
        </w:rPr>
        <w:t xml:space="preserve"> - Description</w:t>
      </w:r>
      <w:r w:rsidR="00292F69">
        <w:rPr>
          <w:rFonts w:ascii="Calibri" w:hAnsi="Calibri" w:cs="Calibri"/>
          <w:color w:val="000000"/>
          <w:sz w:val="28"/>
          <w:szCs w:val="28"/>
        </w:rPr>
        <w:t>/Discussion</w:t>
      </w:r>
    </w:p>
    <w:p w:rsidR="002A6B0D" w:rsidRDefault="003064C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Getting the t</w:t>
      </w:r>
      <w:r w:rsidR="005B58E7">
        <w:rPr>
          <w:rFonts w:ascii="Calibri" w:hAnsi="Calibri" w:cs="Calibri"/>
          <w:color w:val="000000"/>
        </w:rPr>
        <w:t xml:space="preserve">erminology </w:t>
      </w:r>
      <w:r>
        <w:rPr>
          <w:rFonts w:ascii="Calibri" w:hAnsi="Calibri" w:cs="Calibri"/>
          <w:color w:val="000000"/>
        </w:rPr>
        <w:t xml:space="preserve">right </w:t>
      </w:r>
      <w:r w:rsidR="005B58E7">
        <w:rPr>
          <w:rFonts w:ascii="Calibri" w:hAnsi="Calibri" w:cs="Calibri"/>
          <w:color w:val="000000"/>
        </w:rPr>
        <w:t>is so important in this area. Each team has a certain amount of work to do each day they turn up for work. That work is made up of a number of processes. Each process is made up of a number of tasks. Some/most of those tasks will require a procedure to be produced that describes the task</w:t>
      </w:r>
      <w:r>
        <w:rPr>
          <w:rFonts w:ascii="Calibri" w:hAnsi="Calibri" w:cs="Calibri"/>
          <w:color w:val="000000"/>
        </w:rPr>
        <w:t xml:space="preserve"> so that all interested parties can understand the task</w:t>
      </w:r>
      <w:r w:rsidR="005B58E7">
        <w:rPr>
          <w:rFonts w:ascii="Calibri" w:hAnsi="Calibri" w:cs="Calibri"/>
          <w:color w:val="000000"/>
        </w:rPr>
        <w:t>. The documentation that describes the process, tasks and procedures is the package that we call standard work for that particular process.</w:t>
      </w:r>
      <w:r>
        <w:rPr>
          <w:rFonts w:ascii="Calibri" w:hAnsi="Calibri" w:cs="Calibri"/>
          <w:color w:val="000000"/>
        </w:rPr>
        <w:t xml:space="preserve"> This is 'work as done' and not 'work as perceived'.</w:t>
      </w:r>
    </w:p>
    <w:p w:rsidR="005B58E7" w:rsidRDefault="005B58E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process designer must ensure that the standard work is compliant with organization policy, regulation, etc.</w:t>
      </w:r>
    </w:p>
    <w:p w:rsidR="005B58E7" w:rsidRPr="00703E5A" w:rsidRDefault="005B58E7">
      <w:pPr>
        <w:rPr>
          <w:rFonts w:ascii="Calibri" w:hAnsi="Calibri" w:cs="Calibri"/>
          <w:b/>
          <w:color w:val="000000"/>
        </w:rPr>
      </w:pPr>
      <w:r w:rsidRPr="00703E5A">
        <w:rPr>
          <w:rFonts w:ascii="Calibri" w:hAnsi="Calibri" w:cs="Calibri"/>
          <w:b/>
          <w:color w:val="000000"/>
        </w:rPr>
        <w:t>Some definitions will be useful at this point:</w:t>
      </w:r>
    </w:p>
    <w:p w:rsidR="00AE30D2" w:rsidRDefault="005B58E7" w:rsidP="005B58E7">
      <w:pPr>
        <w:rPr>
          <w:rFonts w:ascii="Calibri" w:hAnsi="Calibri" w:cs="Calibri"/>
          <w:color w:val="000000"/>
        </w:rPr>
      </w:pPr>
      <w:r w:rsidRPr="005B58E7">
        <w:rPr>
          <w:rFonts w:ascii="Calibri" w:hAnsi="Calibri" w:cs="Calibri"/>
          <w:color w:val="000000"/>
        </w:rPr>
        <w:t>A Policy is a deliberate system of principles to guide decisions and achieve rational outcomes. A policy is a statement of intent. A plan of action adopted or pursued by an individual, government, party, business, etc.</w:t>
      </w:r>
    </w:p>
    <w:p w:rsidR="00AE30D2" w:rsidRDefault="00AE30D2" w:rsidP="005B58E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protocol</w:t>
      </w:r>
      <w:r w:rsidR="00703E5A">
        <w:rPr>
          <w:rFonts w:ascii="Calibri" w:hAnsi="Calibri" w:cs="Calibri"/>
          <w:color w:val="000000"/>
        </w:rPr>
        <w:t>, in an NHS context,</w:t>
      </w:r>
      <w:r>
        <w:rPr>
          <w:rFonts w:ascii="Calibri" w:hAnsi="Calibri" w:cs="Calibri"/>
          <w:color w:val="000000"/>
        </w:rPr>
        <w:t xml:space="preserve"> </w:t>
      </w:r>
      <w:r w:rsidR="00703E5A">
        <w:rPr>
          <w:rFonts w:ascii="Calibri" w:hAnsi="Calibri" w:cs="Calibri"/>
          <w:color w:val="000000"/>
        </w:rPr>
        <w:t>is basically a set of rules covering specific activities or work areas.</w:t>
      </w:r>
    </w:p>
    <w:p w:rsidR="00AE30D2" w:rsidRDefault="005B58E7" w:rsidP="005B58E7">
      <w:pPr>
        <w:rPr>
          <w:rFonts w:ascii="Calibri" w:hAnsi="Calibri" w:cs="Calibri"/>
          <w:color w:val="000000"/>
        </w:rPr>
      </w:pPr>
      <w:r w:rsidRPr="005B58E7">
        <w:rPr>
          <w:rFonts w:ascii="Calibri" w:hAnsi="Calibri" w:cs="Calibri"/>
          <w:color w:val="000000"/>
        </w:rPr>
        <w:t xml:space="preserve">A Process is a set of activities that interact to achieve a result. A series of actions which </w:t>
      </w:r>
      <w:r w:rsidR="00AE30D2">
        <w:rPr>
          <w:rFonts w:ascii="Calibri" w:hAnsi="Calibri" w:cs="Calibri"/>
          <w:color w:val="000000"/>
        </w:rPr>
        <w:t>produce a change or development, i.e. the work that we do.</w:t>
      </w:r>
    </w:p>
    <w:p w:rsidR="00AE30D2" w:rsidRDefault="005B58E7" w:rsidP="005B58E7">
      <w:pPr>
        <w:rPr>
          <w:rFonts w:ascii="Calibri" w:hAnsi="Calibri" w:cs="Calibri"/>
          <w:color w:val="000000"/>
        </w:rPr>
      </w:pPr>
      <w:r w:rsidRPr="005B58E7">
        <w:rPr>
          <w:rFonts w:ascii="Calibri" w:hAnsi="Calibri" w:cs="Calibri"/>
          <w:color w:val="000000"/>
        </w:rPr>
        <w:t>A Procedure is a set of instructions or recipes, a set of commands that show how to achieve some result, such as to prepare or make something. A way of acting or progressing, an established method.</w:t>
      </w:r>
      <w:r w:rsidR="00AE30D2">
        <w:rPr>
          <w:rFonts w:ascii="Calibri" w:hAnsi="Calibri" w:cs="Calibri"/>
          <w:color w:val="000000"/>
        </w:rPr>
        <w:t xml:space="preserve"> </w:t>
      </w:r>
    </w:p>
    <w:p w:rsidR="00AE30D2" w:rsidRDefault="005B58E7" w:rsidP="005B58E7">
      <w:pPr>
        <w:rPr>
          <w:rFonts w:ascii="Calibri" w:hAnsi="Calibri" w:cs="Calibri"/>
          <w:color w:val="000000"/>
        </w:rPr>
      </w:pPr>
      <w:r w:rsidRPr="005B58E7">
        <w:rPr>
          <w:rFonts w:ascii="Calibri" w:hAnsi="Calibri" w:cs="Calibri"/>
          <w:color w:val="000000"/>
        </w:rPr>
        <w:t>A Work Instruction is a document that provides specific instructions to carry out an Activity. A step by step guide t</w:t>
      </w:r>
      <w:r w:rsidR="00AE30D2">
        <w:rPr>
          <w:rFonts w:ascii="Calibri" w:hAnsi="Calibri" w:cs="Calibri"/>
          <w:color w:val="000000"/>
        </w:rPr>
        <w:t>o perform a single instruction.</w:t>
      </w:r>
    </w:p>
    <w:p w:rsidR="00AE30D2" w:rsidRDefault="005B58E7" w:rsidP="005B58E7">
      <w:pPr>
        <w:rPr>
          <w:rFonts w:ascii="Calibri" w:hAnsi="Calibri" w:cs="Calibri"/>
          <w:color w:val="000000"/>
        </w:rPr>
      </w:pPr>
      <w:r w:rsidRPr="005B58E7">
        <w:rPr>
          <w:rFonts w:ascii="Calibri" w:hAnsi="Calibri" w:cs="Calibri"/>
          <w:color w:val="000000"/>
        </w:rPr>
        <w:t>A Work Instruction contains more detail than a Procedure and is only created if detailed step-by-step instructions are needed.</w:t>
      </w:r>
    </w:p>
    <w:p w:rsidR="005B58E7" w:rsidRDefault="005B58E7" w:rsidP="005B58E7">
      <w:pPr>
        <w:rPr>
          <w:rFonts w:ascii="Calibri" w:hAnsi="Calibri" w:cs="Calibri"/>
          <w:color w:val="000000"/>
        </w:rPr>
      </w:pPr>
      <w:r w:rsidRPr="005B58E7">
        <w:rPr>
          <w:rFonts w:ascii="Calibri" w:hAnsi="Calibri" w:cs="Calibri"/>
          <w:color w:val="000000"/>
        </w:rPr>
        <w:t>All the above documen</w:t>
      </w:r>
      <w:r w:rsidR="003064CD">
        <w:rPr>
          <w:rFonts w:ascii="Calibri" w:hAnsi="Calibri" w:cs="Calibri"/>
          <w:color w:val="000000"/>
        </w:rPr>
        <w:t>ts should be produced in text format with illustrations, e.g. flowcharts, as necessary to help understanding</w:t>
      </w:r>
      <w:r w:rsidRPr="005B58E7">
        <w:rPr>
          <w:rFonts w:ascii="Calibri" w:hAnsi="Calibri" w:cs="Calibri"/>
          <w:color w:val="000000"/>
        </w:rPr>
        <w:t>, as stand alone documents, and mad</w:t>
      </w:r>
      <w:r w:rsidR="00101879">
        <w:rPr>
          <w:rFonts w:ascii="Calibri" w:hAnsi="Calibri" w:cs="Calibri"/>
          <w:color w:val="000000"/>
        </w:rPr>
        <w:t>e available to relevant staff. Processes and their associated d</w:t>
      </w:r>
      <w:r w:rsidRPr="005B58E7">
        <w:rPr>
          <w:rFonts w:ascii="Calibri" w:hAnsi="Calibri" w:cs="Calibri"/>
          <w:color w:val="000000"/>
        </w:rPr>
        <w:t>ocuments should be reviewed on a regular basis and subject to continuous improvement.</w:t>
      </w:r>
      <w:r w:rsidR="003064CD">
        <w:rPr>
          <w:rFonts w:ascii="Calibri" w:hAnsi="Calibri" w:cs="Calibri"/>
          <w:color w:val="000000"/>
        </w:rPr>
        <w:t xml:space="preserve"> Printed format is not </w:t>
      </w:r>
      <w:r w:rsidR="0089229C">
        <w:rPr>
          <w:rFonts w:ascii="Calibri" w:hAnsi="Calibri" w:cs="Calibri"/>
          <w:color w:val="000000"/>
        </w:rPr>
        <w:t>necessary</w:t>
      </w:r>
      <w:r w:rsidR="003064CD">
        <w:rPr>
          <w:rFonts w:ascii="Calibri" w:hAnsi="Calibri" w:cs="Calibri"/>
          <w:color w:val="000000"/>
        </w:rPr>
        <w:t xml:space="preserve"> as documents can be made available via an intranet or internet.</w:t>
      </w:r>
    </w:p>
    <w:p w:rsidR="00DC04BA" w:rsidRDefault="00DC04BA" w:rsidP="005B58E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See here for further definitions: </w:t>
      </w:r>
    </w:p>
    <w:p w:rsidR="00DC04BA" w:rsidRDefault="006E279B" w:rsidP="005B58E7">
      <w:pPr>
        <w:rPr>
          <w:rFonts w:ascii="Calibri" w:hAnsi="Calibri" w:cs="Calibri"/>
          <w:color w:val="000000"/>
        </w:rPr>
      </w:pPr>
      <w:hyperlink r:id="rId7" w:history="1">
        <w:r w:rsidR="00DC04BA" w:rsidRPr="009434DA">
          <w:rPr>
            <w:rStyle w:val="Hyperlink"/>
            <w:rFonts w:ascii="Calibri" w:hAnsi="Calibri" w:cs="Calibri"/>
          </w:rPr>
          <w:t>http://www.wales.nhs.uk/sitesplus/documents/861/Wipp%20Using%20Protocols%2Cstandards%2C%20policies%20and%20guidelines.pdf</w:t>
        </w:r>
      </w:hyperlink>
    </w:p>
    <w:p w:rsidR="005B58E7" w:rsidRDefault="00512BB5" w:rsidP="005B58E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terms p</w:t>
      </w:r>
      <w:r w:rsidR="005B58E7" w:rsidRPr="005B58E7">
        <w:rPr>
          <w:rFonts w:ascii="Calibri" w:hAnsi="Calibri" w:cs="Calibri"/>
          <w:color w:val="000000"/>
        </w:rPr>
        <w:t>rotocol, standard, policy, guideline, process, procedure, a</w:t>
      </w:r>
      <w:r w:rsidR="003064CD">
        <w:rPr>
          <w:rFonts w:ascii="Calibri" w:hAnsi="Calibri" w:cs="Calibri"/>
          <w:color w:val="000000"/>
        </w:rPr>
        <w:t>nd</w:t>
      </w:r>
      <w:r w:rsidR="005B58E7" w:rsidRPr="005B58E7">
        <w:rPr>
          <w:rFonts w:ascii="Calibri" w:hAnsi="Calibri" w:cs="Calibri"/>
          <w:color w:val="000000"/>
        </w:rPr>
        <w:t xml:space="preserve"> work instruction are often used interchangeably</w:t>
      </w:r>
      <w:r w:rsidR="00101879">
        <w:rPr>
          <w:rFonts w:ascii="Calibri" w:hAnsi="Calibri" w:cs="Calibri"/>
          <w:color w:val="000000"/>
        </w:rPr>
        <w:t xml:space="preserve"> (and incorrectly)</w:t>
      </w:r>
      <w:r w:rsidR="005B58E7" w:rsidRPr="005B58E7">
        <w:rPr>
          <w:rFonts w:ascii="Calibri" w:hAnsi="Calibri" w:cs="Calibri"/>
          <w:color w:val="000000"/>
        </w:rPr>
        <w:t xml:space="preserve"> in the NHS</w:t>
      </w:r>
      <w:r>
        <w:rPr>
          <w:rFonts w:ascii="Calibri" w:hAnsi="Calibri" w:cs="Calibri"/>
          <w:color w:val="000000"/>
        </w:rPr>
        <w:t xml:space="preserve"> although each has a different purpose</w:t>
      </w:r>
      <w:r w:rsidR="005B58E7" w:rsidRPr="005B58E7">
        <w:rPr>
          <w:rFonts w:ascii="Calibri" w:hAnsi="Calibri" w:cs="Calibri"/>
          <w:color w:val="000000"/>
        </w:rPr>
        <w:t xml:space="preserve">. However, these are all different </w:t>
      </w:r>
      <w:r>
        <w:rPr>
          <w:rFonts w:ascii="Calibri" w:hAnsi="Calibri" w:cs="Calibri"/>
          <w:color w:val="000000"/>
        </w:rPr>
        <w:t xml:space="preserve">document types </w:t>
      </w:r>
      <w:r w:rsidR="005B58E7" w:rsidRPr="005B58E7">
        <w:rPr>
          <w:rFonts w:ascii="Calibri" w:hAnsi="Calibri" w:cs="Calibri"/>
          <w:color w:val="000000"/>
        </w:rPr>
        <w:t>and to use them effectively you need to be clear about their definitions</w:t>
      </w:r>
      <w:r w:rsidR="00FC66F1">
        <w:rPr>
          <w:rFonts w:ascii="Calibri" w:hAnsi="Calibri" w:cs="Calibri"/>
          <w:color w:val="000000"/>
        </w:rPr>
        <w:t xml:space="preserve"> and content</w:t>
      </w:r>
      <w:r w:rsidR="003064CD">
        <w:rPr>
          <w:rFonts w:ascii="Calibri" w:hAnsi="Calibri" w:cs="Calibri"/>
          <w:color w:val="000000"/>
        </w:rPr>
        <w:t xml:space="preserve"> and use the relevant </w:t>
      </w:r>
      <w:r>
        <w:rPr>
          <w:rFonts w:ascii="Calibri" w:hAnsi="Calibri" w:cs="Calibri"/>
          <w:color w:val="000000"/>
        </w:rPr>
        <w:t>terminology</w:t>
      </w:r>
      <w:r w:rsidR="003064CD">
        <w:rPr>
          <w:rFonts w:ascii="Calibri" w:hAnsi="Calibri" w:cs="Calibri"/>
          <w:color w:val="000000"/>
        </w:rPr>
        <w:t xml:space="preserve"> to head documents.</w:t>
      </w:r>
    </w:p>
    <w:p w:rsidR="00DC04BA" w:rsidRDefault="00AE30D2" w:rsidP="005F34F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Standard work is perceived, almost universally, as a for</w:t>
      </w:r>
      <w:r w:rsidR="00FC66F1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 xml:space="preserve"> of control. How can this be the case if the design process is undertaken correctly, that is that it is designed and continually improved by the people that do the work?</w:t>
      </w:r>
      <w:r w:rsidR="0034757D">
        <w:rPr>
          <w:rFonts w:ascii="Calibri" w:hAnsi="Calibri" w:cs="Calibri"/>
          <w:color w:val="000000"/>
        </w:rPr>
        <w:t xml:space="preserve"> </w:t>
      </w:r>
      <w:r w:rsidR="00101879">
        <w:rPr>
          <w:rFonts w:ascii="Calibri" w:hAnsi="Calibri" w:cs="Calibri"/>
          <w:color w:val="000000"/>
        </w:rPr>
        <w:t>Standard work is empowerment to innovate</w:t>
      </w:r>
      <w:r w:rsidR="00FC66F1">
        <w:rPr>
          <w:rFonts w:ascii="Calibri" w:hAnsi="Calibri" w:cs="Calibri"/>
          <w:color w:val="000000"/>
        </w:rPr>
        <w:t xml:space="preserve"> for an innovative</w:t>
      </w:r>
      <w:r w:rsidR="00101879">
        <w:rPr>
          <w:rFonts w:ascii="Calibri" w:hAnsi="Calibri" w:cs="Calibri"/>
          <w:color w:val="000000"/>
        </w:rPr>
        <w:t xml:space="preserve"> </w:t>
      </w:r>
      <w:r w:rsidR="00FC66F1">
        <w:rPr>
          <w:rFonts w:ascii="Calibri" w:hAnsi="Calibri" w:cs="Calibri"/>
          <w:color w:val="000000"/>
        </w:rPr>
        <w:t>workforce.</w:t>
      </w:r>
      <w:r w:rsidR="00752B92">
        <w:rPr>
          <w:rFonts w:ascii="Calibri" w:hAnsi="Calibri" w:cs="Calibri"/>
          <w:color w:val="000000"/>
        </w:rPr>
        <w:t xml:space="preserve"> </w:t>
      </w:r>
    </w:p>
    <w:p w:rsidR="00715094" w:rsidRDefault="00715094" w:rsidP="00715094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Work Processes</w:t>
      </w:r>
      <w:r w:rsidR="00101879">
        <w:rPr>
          <w:rFonts w:ascii="Calibri" w:hAnsi="Calibri" w:cs="Calibri"/>
          <w:b/>
          <w:color w:val="000000"/>
        </w:rPr>
        <w:t xml:space="preserve"> in the NHS</w:t>
      </w:r>
    </w:p>
    <w:p w:rsidR="00715094" w:rsidRPr="00715094" w:rsidRDefault="00715094" w:rsidP="0071509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Work processes can be divided into two broad sets. These</w:t>
      </w:r>
      <w:r w:rsidR="00101879">
        <w:rPr>
          <w:rFonts w:ascii="Calibri" w:hAnsi="Calibri" w:cs="Calibri"/>
          <w:color w:val="000000"/>
        </w:rPr>
        <w:t xml:space="preserve"> are product or service realization</w:t>
      </w:r>
      <w:r>
        <w:rPr>
          <w:rFonts w:ascii="Calibri" w:hAnsi="Calibri" w:cs="Calibri"/>
          <w:color w:val="000000"/>
        </w:rPr>
        <w:t xml:space="preserve"> processes and business processes. These two sets are defined as follows:</w:t>
      </w:r>
    </w:p>
    <w:p w:rsidR="00715094" w:rsidRPr="00703E5A" w:rsidRDefault="00715094" w:rsidP="00715094">
      <w:pPr>
        <w:rPr>
          <w:rFonts w:ascii="Calibri" w:hAnsi="Calibri" w:cs="Calibri"/>
          <w:b/>
          <w:color w:val="000000"/>
        </w:rPr>
      </w:pPr>
      <w:r w:rsidRPr="00703E5A">
        <w:rPr>
          <w:rFonts w:ascii="Calibri" w:hAnsi="Calibri" w:cs="Calibri"/>
          <w:b/>
          <w:color w:val="000000"/>
        </w:rPr>
        <w:t xml:space="preserve">Product </w:t>
      </w:r>
      <w:r>
        <w:rPr>
          <w:rFonts w:ascii="Calibri" w:hAnsi="Calibri" w:cs="Calibri"/>
          <w:b/>
          <w:color w:val="000000"/>
        </w:rPr>
        <w:t>or Service realisation process set</w:t>
      </w:r>
      <w:r w:rsidRPr="00703E5A">
        <w:rPr>
          <w:rFonts w:ascii="Calibri" w:hAnsi="Calibri" w:cs="Calibri"/>
          <w:b/>
          <w:color w:val="000000"/>
        </w:rPr>
        <w:t>:</w:t>
      </w:r>
    </w:p>
    <w:p w:rsidR="000D3A5B" w:rsidRDefault="005B108C" w:rsidP="0071509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Here are three</w:t>
      </w:r>
      <w:r w:rsidR="000D3A5B">
        <w:rPr>
          <w:rFonts w:ascii="Calibri" w:hAnsi="Calibri" w:cs="Calibri"/>
          <w:color w:val="000000"/>
        </w:rPr>
        <w:t xml:space="preserve"> examples of clinical service realisation processes. It should</w:t>
      </w:r>
      <w:r w:rsidR="00101879">
        <w:rPr>
          <w:rFonts w:ascii="Calibri" w:hAnsi="Calibri" w:cs="Calibri"/>
          <w:color w:val="000000"/>
        </w:rPr>
        <w:t xml:space="preserve"> be</w:t>
      </w:r>
      <w:r w:rsidR="000D3A5B">
        <w:rPr>
          <w:rFonts w:ascii="Calibri" w:hAnsi="Calibri" w:cs="Calibri"/>
          <w:color w:val="000000"/>
        </w:rPr>
        <w:t xml:space="preserve"> noted that most of them are procedures</w:t>
      </w:r>
      <w:r>
        <w:rPr>
          <w:rFonts w:ascii="Calibri" w:hAnsi="Calibri" w:cs="Calibri"/>
          <w:color w:val="000000"/>
        </w:rPr>
        <w:t xml:space="preserve"> or guidance</w:t>
      </w:r>
      <w:r w:rsidR="000D3A5B">
        <w:rPr>
          <w:rFonts w:ascii="Calibri" w:hAnsi="Calibri" w:cs="Calibri"/>
          <w:color w:val="000000"/>
        </w:rPr>
        <w:t xml:space="preserve"> and not processes as defined above. Each procedure</w:t>
      </w:r>
      <w:r>
        <w:rPr>
          <w:rFonts w:ascii="Calibri" w:hAnsi="Calibri" w:cs="Calibri"/>
          <w:color w:val="000000"/>
        </w:rPr>
        <w:t>/guidance</w:t>
      </w:r>
      <w:r w:rsidR="000D3A5B">
        <w:rPr>
          <w:rFonts w:ascii="Calibri" w:hAnsi="Calibri" w:cs="Calibri"/>
          <w:color w:val="000000"/>
        </w:rPr>
        <w:t xml:space="preserve"> illustrated will be part of a particular process.</w:t>
      </w:r>
    </w:p>
    <w:p w:rsidR="00715094" w:rsidRDefault="000D3A5B" w:rsidP="0071509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Calibri" w:hAnsi="Calibri" w:cs="Calibri"/>
          <w:color w:val="000000"/>
        </w:rPr>
        <w:tab/>
      </w:r>
      <w:r w:rsidR="00715094">
        <w:rPr>
          <w:rFonts w:ascii="Calibri" w:hAnsi="Calibri" w:cs="Calibri"/>
          <w:color w:val="000000"/>
        </w:rPr>
        <w:t>The Royal Marsden Hospital Manual of Clinical Nursing Procedures, Ninth Edition</w:t>
      </w:r>
    </w:p>
    <w:p w:rsidR="00715094" w:rsidRDefault="00715094" w:rsidP="00715094">
      <w:pPr>
        <w:rPr>
          <w:rFonts w:ascii="Calibri" w:hAnsi="Calibri" w:cs="Calibri"/>
          <w:color w:val="000000"/>
        </w:rPr>
      </w:pPr>
      <w:r w:rsidRPr="006B7DDE">
        <w:rPr>
          <w:rFonts w:ascii="Calibri" w:hAnsi="Calibri" w:cs="Calibri"/>
          <w:color w:val="000000"/>
        </w:rPr>
        <w:t>Evidence-based clinical skills and procedures related to essential aspects of a patient's care.</w:t>
      </w:r>
    </w:p>
    <w:p w:rsidR="00715094" w:rsidRDefault="00715094" w:rsidP="0071509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See: </w:t>
      </w:r>
      <w:hyperlink r:id="rId8" w:history="1">
        <w:r w:rsidRPr="009434DA">
          <w:rPr>
            <w:rStyle w:val="Hyperlink"/>
            <w:rFonts w:ascii="Calibri" w:hAnsi="Calibri" w:cs="Calibri"/>
          </w:rPr>
          <w:t>https://www.rmmonline.co.uk/contents/procedures</w:t>
        </w:r>
      </w:hyperlink>
    </w:p>
    <w:p w:rsidR="00715094" w:rsidRDefault="000D3A5B" w:rsidP="0071509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Calibri" w:hAnsi="Calibri" w:cs="Calibri"/>
          <w:color w:val="000000"/>
        </w:rPr>
        <w:tab/>
      </w:r>
      <w:r w:rsidR="00715094">
        <w:rPr>
          <w:rFonts w:ascii="Calibri" w:hAnsi="Calibri" w:cs="Calibri"/>
          <w:color w:val="000000"/>
        </w:rPr>
        <w:t xml:space="preserve">National Institute for Health and Care Excellence (NICE) </w:t>
      </w:r>
      <w:r w:rsidR="0065565C">
        <w:rPr>
          <w:rFonts w:ascii="Calibri" w:hAnsi="Calibri" w:cs="Calibri"/>
          <w:color w:val="000000"/>
        </w:rPr>
        <w:t>Guidance</w:t>
      </w:r>
    </w:p>
    <w:p w:rsidR="00715094" w:rsidRPr="00122A68" w:rsidRDefault="00715094" w:rsidP="00715094">
      <w:pPr>
        <w:rPr>
          <w:rFonts w:ascii="Calibri" w:hAnsi="Calibri" w:cs="Calibri"/>
          <w:color w:val="000000"/>
        </w:rPr>
      </w:pPr>
      <w:r w:rsidRPr="00122A68">
        <w:rPr>
          <w:rFonts w:ascii="Calibri" w:hAnsi="Calibri" w:cs="Calibri"/>
          <w:color w:val="000000"/>
        </w:rPr>
        <w:t>NICE's role is to improve outcomes for people using the NHS and other public hea</w:t>
      </w:r>
      <w:r>
        <w:rPr>
          <w:rFonts w:ascii="Calibri" w:hAnsi="Calibri" w:cs="Calibri"/>
          <w:color w:val="000000"/>
        </w:rPr>
        <w:t>lth and social care services. They</w:t>
      </w:r>
      <w:r w:rsidRPr="00122A68">
        <w:rPr>
          <w:rFonts w:ascii="Calibri" w:hAnsi="Calibri" w:cs="Calibri"/>
          <w:color w:val="000000"/>
        </w:rPr>
        <w:t xml:space="preserve"> do this by:</w:t>
      </w:r>
    </w:p>
    <w:p w:rsidR="00715094" w:rsidRPr="006B7DDE" w:rsidRDefault="00715094" w:rsidP="0071509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6B7DDE">
        <w:rPr>
          <w:rFonts w:ascii="Calibri" w:hAnsi="Calibri" w:cs="Calibri"/>
          <w:color w:val="000000"/>
        </w:rPr>
        <w:t xml:space="preserve">Producing </w:t>
      </w:r>
      <w:hyperlink r:id="rId9" w:history="1">
        <w:r w:rsidRPr="006B7DDE">
          <w:rPr>
            <w:rFonts w:ascii="Calibri" w:hAnsi="Calibri" w:cs="Calibri"/>
            <w:color w:val="000000"/>
          </w:rPr>
          <w:t>evidence-based guidance</w:t>
        </w:r>
      </w:hyperlink>
      <w:r w:rsidRPr="006B7DDE">
        <w:rPr>
          <w:rFonts w:ascii="Calibri" w:hAnsi="Calibri" w:cs="Calibri"/>
          <w:color w:val="000000"/>
        </w:rPr>
        <w:t xml:space="preserve"> and </w:t>
      </w:r>
      <w:hyperlink r:id="rId10" w:history="1">
        <w:r w:rsidRPr="006B7DDE">
          <w:rPr>
            <w:rFonts w:ascii="Calibri" w:hAnsi="Calibri" w:cs="Calibri"/>
            <w:color w:val="000000"/>
          </w:rPr>
          <w:t>advice</w:t>
        </w:r>
      </w:hyperlink>
      <w:r w:rsidRPr="006B7DDE">
        <w:rPr>
          <w:rFonts w:ascii="Calibri" w:hAnsi="Calibri" w:cs="Calibri"/>
          <w:color w:val="000000"/>
        </w:rPr>
        <w:t xml:space="preserve"> for health, public health and social care practitioners.</w:t>
      </w:r>
    </w:p>
    <w:p w:rsidR="00715094" w:rsidRPr="006B7DDE" w:rsidRDefault="00715094" w:rsidP="0071509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6B7DDE">
        <w:rPr>
          <w:rFonts w:ascii="Calibri" w:hAnsi="Calibri" w:cs="Calibri"/>
          <w:color w:val="000000"/>
        </w:rPr>
        <w:t>Developing </w:t>
      </w:r>
      <w:hyperlink r:id="rId11" w:history="1">
        <w:r w:rsidRPr="006B7DDE">
          <w:rPr>
            <w:rFonts w:ascii="Calibri" w:hAnsi="Calibri" w:cs="Calibri"/>
            <w:color w:val="000000"/>
          </w:rPr>
          <w:t>quality standards and performance metrics</w:t>
        </w:r>
      </w:hyperlink>
      <w:r w:rsidRPr="006B7DDE">
        <w:rPr>
          <w:rFonts w:ascii="Calibri" w:hAnsi="Calibri" w:cs="Calibri"/>
          <w:color w:val="000000"/>
        </w:rPr>
        <w:t xml:space="preserve"> for those providing and commissioning health, public health and social care services.</w:t>
      </w:r>
    </w:p>
    <w:p w:rsidR="00715094" w:rsidRPr="006B7DDE" w:rsidRDefault="00715094" w:rsidP="0071509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6B7DDE">
        <w:rPr>
          <w:rFonts w:ascii="Calibri" w:hAnsi="Calibri" w:cs="Calibri"/>
          <w:color w:val="000000"/>
        </w:rPr>
        <w:t xml:space="preserve">Providing a </w:t>
      </w:r>
      <w:hyperlink r:id="rId12" w:history="1">
        <w:r w:rsidRPr="006B7DDE">
          <w:rPr>
            <w:rFonts w:ascii="Calibri" w:hAnsi="Calibri" w:cs="Calibri"/>
            <w:color w:val="000000"/>
          </w:rPr>
          <w:t>range of information services</w:t>
        </w:r>
      </w:hyperlink>
      <w:r w:rsidRPr="006B7DDE">
        <w:rPr>
          <w:rFonts w:ascii="Calibri" w:hAnsi="Calibri" w:cs="Calibri"/>
          <w:color w:val="000000"/>
        </w:rPr>
        <w:t> for commissioners, practitioners and managers across the spectrum of health and social care.</w:t>
      </w:r>
    </w:p>
    <w:p w:rsidR="00715094" w:rsidRDefault="00715094" w:rsidP="0071509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See</w:t>
      </w:r>
      <w:hyperlink r:id="rId13" w:history="1">
        <w:r w:rsidRPr="009434DA">
          <w:rPr>
            <w:rStyle w:val="Hyperlink"/>
            <w:rFonts w:ascii="Calibri" w:hAnsi="Calibri" w:cs="Calibri"/>
          </w:rPr>
          <w:t>: https://www.nice.org.uk/guidance</w:t>
        </w:r>
      </w:hyperlink>
    </w:p>
    <w:p w:rsidR="005B108C" w:rsidRDefault="005B108C" w:rsidP="0071509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Calibri" w:hAnsi="Calibri" w:cs="Calibri"/>
          <w:color w:val="000000"/>
        </w:rPr>
        <w:tab/>
        <w:t>BMJ Best Practice</w:t>
      </w:r>
    </w:p>
    <w:p w:rsidR="005B108C" w:rsidRPr="005B108C" w:rsidRDefault="005B108C" w:rsidP="005B108C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5B108C">
        <w:rPr>
          <w:rFonts w:ascii="Calibri" w:hAnsi="Calibri" w:cs="Calibri"/>
          <w:color w:val="000000"/>
        </w:rPr>
        <w:t>BMJ Best Practice takes you quickly and accurately to the latest evidence-based information, whenever and wherever you need it.</w:t>
      </w:r>
    </w:p>
    <w:p w:rsidR="005B108C" w:rsidRPr="005B108C" w:rsidRDefault="005B108C" w:rsidP="005B108C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5B108C">
        <w:rPr>
          <w:rFonts w:ascii="Calibri" w:hAnsi="Calibri" w:cs="Calibri"/>
          <w:color w:val="000000"/>
        </w:rPr>
        <w:t>Our step by step guidance on diagnosis, prognosis, treatment and prevention is updated daily using robust evidence based methodology and expert opinion.</w:t>
      </w:r>
    </w:p>
    <w:p w:rsidR="00C90116" w:rsidRDefault="005B108C" w:rsidP="00C90116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5B108C">
        <w:rPr>
          <w:rFonts w:ascii="Calibri" w:hAnsi="Calibri" w:cs="Calibri"/>
          <w:color w:val="000000"/>
        </w:rPr>
        <w:t>We support you in implementing good practice.</w:t>
      </w:r>
    </w:p>
    <w:p w:rsidR="00C90116" w:rsidRPr="00C90116" w:rsidRDefault="00C90116" w:rsidP="00C9011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See: </w:t>
      </w:r>
      <w:hyperlink r:id="rId14" w:history="1">
        <w:r w:rsidRPr="009434DA">
          <w:rPr>
            <w:rStyle w:val="Hyperlink"/>
            <w:rFonts w:ascii="Calibri" w:hAnsi="Calibri" w:cs="Calibri"/>
          </w:rPr>
          <w:t>https://www.bestpractice</w:t>
        </w:r>
        <w:r w:rsidRPr="009434DA">
          <w:rPr>
            <w:rStyle w:val="Hyperlink"/>
            <w:rFonts w:ascii="Calibri" w:hAnsi="Calibri" w:cs="Calibri"/>
          </w:rPr>
          <w:t>.</w:t>
        </w:r>
        <w:r w:rsidRPr="009434DA">
          <w:rPr>
            <w:rStyle w:val="Hyperlink"/>
            <w:rFonts w:ascii="Calibri" w:hAnsi="Calibri" w:cs="Calibri"/>
          </w:rPr>
          <w:t>bmj.com/info/</w:t>
        </w:r>
      </w:hyperlink>
    </w:p>
    <w:p w:rsidR="00715094" w:rsidRPr="00703E5A" w:rsidRDefault="00715094" w:rsidP="00715094">
      <w:pPr>
        <w:rPr>
          <w:rFonts w:ascii="Calibri" w:hAnsi="Calibri" w:cs="Calibri"/>
          <w:b/>
          <w:color w:val="000000"/>
        </w:rPr>
      </w:pPr>
      <w:r w:rsidRPr="00703E5A">
        <w:rPr>
          <w:rFonts w:ascii="Calibri" w:hAnsi="Calibri" w:cs="Calibri"/>
          <w:b/>
          <w:color w:val="000000"/>
        </w:rPr>
        <w:t>Busine</w:t>
      </w:r>
      <w:r>
        <w:rPr>
          <w:rFonts w:ascii="Calibri" w:hAnsi="Calibri" w:cs="Calibri"/>
          <w:b/>
          <w:color w:val="000000"/>
        </w:rPr>
        <w:t>ss process set:</w:t>
      </w:r>
    </w:p>
    <w:p w:rsidR="00715094" w:rsidRDefault="00715094" w:rsidP="0071509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collective name given to all the many processes undertaken by an organisation that are not included</w:t>
      </w:r>
      <w:r w:rsidR="003064CD">
        <w:rPr>
          <w:rFonts w:ascii="Calibri" w:hAnsi="Calibri" w:cs="Calibri"/>
          <w:color w:val="000000"/>
        </w:rPr>
        <w:t xml:space="preserve"> in the product/service realization</w:t>
      </w:r>
      <w:r>
        <w:rPr>
          <w:rFonts w:ascii="Calibri" w:hAnsi="Calibri" w:cs="Calibri"/>
          <w:color w:val="000000"/>
        </w:rPr>
        <w:t xml:space="preserve"> processes. Although these business processes may reference specific pro</w:t>
      </w:r>
      <w:r w:rsidR="0089229C">
        <w:rPr>
          <w:rFonts w:ascii="Calibri" w:hAnsi="Calibri" w:cs="Calibri"/>
          <w:color w:val="000000"/>
        </w:rPr>
        <w:t>cesses from the product</w:t>
      </w:r>
      <w:r w:rsidR="00101879">
        <w:rPr>
          <w:rFonts w:ascii="Calibri" w:hAnsi="Calibri" w:cs="Calibri"/>
          <w:color w:val="000000"/>
        </w:rPr>
        <w:t>/</w:t>
      </w:r>
      <w:r w:rsidR="0003129A">
        <w:rPr>
          <w:rFonts w:ascii="Calibri" w:hAnsi="Calibri" w:cs="Calibri"/>
          <w:color w:val="000000"/>
        </w:rPr>
        <w:t>service</w:t>
      </w:r>
      <w:r w:rsidR="003C2E9E">
        <w:rPr>
          <w:rFonts w:ascii="Calibri" w:hAnsi="Calibri" w:cs="Calibri"/>
          <w:color w:val="000000"/>
        </w:rPr>
        <w:t xml:space="preserve"> </w:t>
      </w:r>
      <w:r w:rsidR="0089229C">
        <w:rPr>
          <w:rFonts w:ascii="Calibri" w:hAnsi="Calibri" w:cs="Calibri"/>
          <w:color w:val="000000"/>
        </w:rPr>
        <w:t xml:space="preserve"> realization</w:t>
      </w:r>
      <w:r>
        <w:rPr>
          <w:rFonts w:ascii="Calibri" w:hAnsi="Calibri" w:cs="Calibri"/>
          <w:color w:val="000000"/>
        </w:rPr>
        <w:t xml:space="preserve"> process set they should not </w:t>
      </w:r>
      <w:r>
        <w:rPr>
          <w:rFonts w:ascii="Calibri" w:hAnsi="Calibri" w:cs="Calibri"/>
          <w:color w:val="000000"/>
        </w:rPr>
        <w:lastRenderedPageBreak/>
        <w:t>attempt to replicate already readily available process and procedure documentation from this set.</w:t>
      </w:r>
      <w:r w:rsidR="005B108C">
        <w:rPr>
          <w:rFonts w:ascii="Calibri" w:hAnsi="Calibri" w:cs="Calibri"/>
          <w:color w:val="000000"/>
        </w:rPr>
        <w:t xml:space="preserve"> They are equally as important as the Product/Service realisation processes as they</w:t>
      </w:r>
      <w:r w:rsidR="00356B6E">
        <w:rPr>
          <w:rFonts w:ascii="Calibri" w:hAnsi="Calibri" w:cs="Calibri"/>
          <w:color w:val="000000"/>
        </w:rPr>
        <w:t xml:space="preserve"> are the system infrastructure that enables patient care, activities like scheduling, appointments, communication, records, etc.</w:t>
      </w:r>
    </w:p>
    <w:p w:rsidR="00231F69" w:rsidRPr="00715094" w:rsidRDefault="00FC66F1" w:rsidP="005F34FC">
      <w:pPr>
        <w:rPr>
          <w:rFonts w:ascii="Calibri" w:hAnsi="Calibri" w:cs="Calibri"/>
          <w:b/>
          <w:color w:val="000000"/>
        </w:rPr>
      </w:pPr>
      <w:r w:rsidRPr="00715094">
        <w:rPr>
          <w:rFonts w:ascii="Calibri" w:hAnsi="Calibri" w:cs="Calibri"/>
          <w:b/>
          <w:color w:val="000000"/>
        </w:rPr>
        <w:t xml:space="preserve">Standard work </w:t>
      </w:r>
      <w:r w:rsidR="00715094">
        <w:rPr>
          <w:rFonts w:ascii="Calibri" w:hAnsi="Calibri" w:cs="Calibri"/>
          <w:b/>
          <w:color w:val="000000"/>
        </w:rPr>
        <w:t>as a baseline for communication</w:t>
      </w:r>
    </w:p>
    <w:p w:rsidR="0089229C" w:rsidRPr="00356B6E" w:rsidRDefault="00231F69" w:rsidP="005F34F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Would standard work, if suitably visualized</w:t>
      </w:r>
      <w:r w:rsidR="00715094">
        <w:rPr>
          <w:rFonts w:ascii="Calibri" w:hAnsi="Calibri" w:cs="Calibri"/>
          <w:color w:val="000000"/>
        </w:rPr>
        <w:t xml:space="preserve"> (documented),</w:t>
      </w:r>
      <w:r w:rsidR="00F9127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facilitate 'entrepreneurial leadership' </w:t>
      </w:r>
      <w:r w:rsidR="003D56CF">
        <w:rPr>
          <w:rFonts w:ascii="Calibri" w:hAnsi="Calibri" w:cs="Calibri"/>
          <w:color w:val="000000"/>
        </w:rPr>
        <w:t xml:space="preserve">in terms of, for example performance, </w:t>
      </w:r>
      <w:r>
        <w:rPr>
          <w:rFonts w:ascii="Calibri" w:hAnsi="Calibri" w:cs="Calibri"/>
          <w:color w:val="000000"/>
        </w:rPr>
        <w:t xml:space="preserve">if </w:t>
      </w:r>
      <w:r w:rsidR="00715094">
        <w:rPr>
          <w:rFonts w:ascii="Calibri" w:hAnsi="Calibri" w:cs="Calibri"/>
          <w:color w:val="000000"/>
        </w:rPr>
        <w:t xml:space="preserve">it was </w:t>
      </w:r>
      <w:r>
        <w:rPr>
          <w:rFonts w:ascii="Calibri" w:hAnsi="Calibri" w:cs="Calibri"/>
          <w:color w:val="000000"/>
        </w:rPr>
        <w:t xml:space="preserve">available in the 'adaptive space' in Prof. Mary </w:t>
      </w:r>
      <w:proofErr w:type="spellStart"/>
      <w:r>
        <w:rPr>
          <w:rFonts w:ascii="Calibri" w:hAnsi="Calibri" w:cs="Calibri"/>
          <w:color w:val="000000"/>
        </w:rPr>
        <w:t>Uhl-Bien's</w:t>
      </w:r>
      <w:proofErr w:type="spellEnd"/>
      <w:r>
        <w:rPr>
          <w:rFonts w:ascii="Calibri" w:hAnsi="Calibri" w:cs="Calibri"/>
          <w:color w:val="000000"/>
        </w:rPr>
        <w:t xml:space="preserve"> Complexity Leadership Model?</w:t>
      </w:r>
      <w:r w:rsidR="00D57EA6">
        <w:rPr>
          <w:rFonts w:ascii="Calibri" w:hAnsi="Calibri" w:cs="Calibri"/>
          <w:color w:val="000000"/>
        </w:rPr>
        <w:t xml:space="preserve"> See: </w:t>
      </w:r>
      <w:hyperlink r:id="rId15" w:history="1">
        <w:r w:rsidR="00D57EA6" w:rsidRPr="00D57EA6">
          <w:rPr>
            <w:rStyle w:val="Hyperlink"/>
            <w:rFonts w:ascii="Calibri" w:hAnsi="Calibri" w:cs="Calibri"/>
          </w:rPr>
          <w:t>https://www.sagewaysconsulting.com/wp-content/uploads/2017/03/ComplexityLeadersh</w:t>
        </w:r>
        <w:r w:rsidR="00D57EA6" w:rsidRPr="00D57EA6">
          <w:rPr>
            <w:rStyle w:val="Hyperlink"/>
            <w:rFonts w:ascii="Calibri" w:hAnsi="Calibri" w:cs="Calibri"/>
          </w:rPr>
          <w:t>i</w:t>
        </w:r>
        <w:r w:rsidR="00D57EA6" w:rsidRPr="00D57EA6">
          <w:rPr>
            <w:rStyle w:val="Hyperlink"/>
            <w:rFonts w:ascii="Calibri" w:hAnsi="Calibri" w:cs="Calibri"/>
          </w:rPr>
          <w:t>pTheory_HRPS_39.2_Arena_Uhl_Bien.pdf</w:t>
        </w:r>
      </w:hyperlink>
    </w:p>
    <w:p w:rsidR="00715094" w:rsidRPr="00715094" w:rsidRDefault="0089229C" w:rsidP="005F34FC">
      <w:pPr>
        <w:rPr>
          <w:rFonts w:ascii="Calibri" w:hAnsi="Calibri" w:cs="Calibri"/>
          <w:b/>
          <w:color w:val="000000"/>
        </w:rPr>
      </w:pPr>
      <w:r w:rsidRPr="00715094">
        <w:rPr>
          <w:rFonts w:ascii="Calibri" w:hAnsi="Calibri" w:cs="Calibri"/>
          <w:b/>
          <w:color w:val="000000"/>
        </w:rPr>
        <w:t xml:space="preserve">Standard work </w:t>
      </w:r>
      <w:r>
        <w:rPr>
          <w:rFonts w:ascii="Calibri" w:hAnsi="Calibri" w:cs="Calibri"/>
          <w:b/>
          <w:color w:val="000000"/>
        </w:rPr>
        <w:t>t</w:t>
      </w:r>
      <w:r w:rsidR="00715094" w:rsidRPr="00715094">
        <w:rPr>
          <w:rFonts w:ascii="Calibri" w:hAnsi="Calibri" w:cs="Calibri"/>
          <w:b/>
          <w:color w:val="000000"/>
        </w:rPr>
        <w:t>o reduce variation in performance and to improve performance</w:t>
      </w:r>
    </w:p>
    <w:p w:rsidR="00F9127D" w:rsidRDefault="00773E8F" w:rsidP="005F34F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Performance is the summation of all the activities, systems, facilities, equipment, etc that come together to achieve our </w:t>
      </w:r>
      <w:r w:rsidR="00C8604A">
        <w:rPr>
          <w:rFonts w:ascii="Calibri" w:hAnsi="Calibri" w:cs="Calibri"/>
          <w:color w:val="000000"/>
        </w:rPr>
        <w:t xml:space="preserve">organisations </w:t>
      </w:r>
      <w:r>
        <w:rPr>
          <w:rFonts w:ascii="Calibri" w:hAnsi="Calibri" w:cs="Calibri"/>
          <w:color w:val="000000"/>
        </w:rPr>
        <w:t xml:space="preserve">aim. It is safe to say that, in the NHS, a large measure of </w:t>
      </w:r>
      <w:r w:rsidR="00C8604A">
        <w:rPr>
          <w:rFonts w:ascii="Calibri" w:hAnsi="Calibri" w:cs="Calibri"/>
          <w:color w:val="000000"/>
        </w:rPr>
        <w:t xml:space="preserve">performance is derived from the </w:t>
      </w:r>
      <w:r>
        <w:rPr>
          <w:rFonts w:ascii="Calibri" w:hAnsi="Calibri" w:cs="Calibri"/>
          <w:color w:val="000000"/>
        </w:rPr>
        <w:t>work</w:t>
      </w:r>
      <w:r w:rsidR="00C8604A">
        <w:rPr>
          <w:rFonts w:ascii="Calibri" w:hAnsi="Calibri" w:cs="Calibri"/>
          <w:color w:val="000000"/>
        </w:rPr>
        <w:t xml:space="preserve"> of individual</w:t>
      </w:r>
      <w:r w:rsidR="001B4F2B">
        <w:rPr>
          <w:rFonts w:ascii="Calibri" w:hAnsi="Calibri" w:cs="Calibri"/>
          <w:color w:val="000000"/>
        </w:rPr>
        <w:t>,</w:t>
      </w:r>
      <w:r w:rsidR="00C8604A">
        <w:rPr>
          <w:rFonts w:ascii="Calibri" w:hAnsi="Calibri" w:cs="Calibri"/>
          <w:color w:val="000000"/>
        </w:rPr>
        <w:t xml:space="preserve"> </w:t>
      </w:r>
      <w:r w:rsidR="001B4F2B">
        <w:rPr>
          <w:rFonts w:ascii="Calibri" w:hAnsi="Calibri" w:cs="Calibri"/>
          <w:color w:val="000000"/>
        </w:rPr>
        <w:t xml:space="preserve">front line, </w:t>
      </w:r>
      <w:r w:rsidR="00C8604A">
        <w:rPr>
          <w:rFonts w:ascii="Calibri" w:hAnsi="Calibri" w:cs="Calibri"/>
          <w:color w:val="000000"/>
        </w:rPr>
        <w:t xml:space="preserve">employees, more so than in </w:t>
      </w:r>
      <w:r w:rsidR="001B4F2B">
        <w:rPr>
          <w:rFonts w:ascii="Calibri" w:hAnsi="Calibri" w:cs="Calibri"/>
          <w:color w:val="000000"/>
        </w:rPr>
        <w:t xml:space="preserve">many </w:t>
      </w:r>
      <w:r w:rsidR="00C8604A">
        <w:rPr>
          <w:rFonts w:ascii="Calibri" w:hAnsi="Calibri" w:cs="Calibri"/>
          <w:color w:val="000000"/>
        </w:rPr>
        <w:t>other sectors where there is a greater degree of automation</w:t>
      </w:r>
      <w:r>
        <w:rPr>
          <w:rFonts w:ascii="Calibri" w:hAnsi="Calibri" w:cs="Calibri"/>
          <w:color w:val="000000"/>
        </w:rPr>
        <w:t>. Our work is supported by</w:t>
      </w:r>
      <w:r w:rsidR="0089229C">
        <w:rPr>
          <w:rFonts w:ascii="Calibri" w:hAnsi="Calibri" w:cs="Calibri"/>
          <w:color w:val="000000"/>
        </w:rPr>
        <w:t xml:space="preserve"> all these other elements</w:t>
      </w:r>
      <w:r>
        <w:rPr>
          <w:rFonts w:ascii="Calibri" w:hAnsi="Calibri" w:cs="Calibri"/>
          <w:color w:val="000000"/>
        </w:rPr>
        <w:t>. So many of our daily work activities do not focus on our aim and therefore reduce our performance in relation to our aim.</w:t>
      </w:r>
    </w:p>
    <w:p w:rsidR="00C8604A" w:rsidRPr="00AD7BF4" w:rsidRDefault="00C8604A" w:rsidP="005F34FC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What is our aim? Patient safety, quality care, </w:t>
      </w:r>
      <w:r w:rsidR="00DA5BCA">
        <w:rPr>
          <w:rFonts w:ascii="Calibri" w:hAnsi="Calibri" w:cs="Calibri"/>
          <w:color w:val="000000"/>
        </w:rPr>
        <w:t xml:space="preserve">to meet </w:t>
      </w:r>
      <w:r>
        <w:rPr>
          <w:rFonts w:ascii="Calibri" w:hAnsi="Calibri" w:cs="Calibri"/>
          <w:color w:val="000000"/>
        </w:rPr>
        <w:t xml:space="preserve">outcome targets? </w:t>
      </w:r>
      <w:r w:rsidR="00AD7BF4" w:rsidRPr="00AD7BF4">
        <w:rPr>
          <w:rFonts w:ascii="Calibri" w:hAnsi="Calibri" w:cs="Calibri"/>
        </w:rPr>
        <w:t xml:space="preserve">How about </w:t>
      </w:r>
      <w:proofErr w:type="spellStart"/>
      <w:r w:rsidR="00AD7BF4" w:rsidRPr="00AD7BF4">
        <w:rPr>
          <w:rFonts w:ascii="Calibri" w:hAnsi="Calibri" w:cs="Calibri"/>
        </w:rPr>
        <w:t>IHI's</w:t>
      </w:r>
      <w:proofErr w:type="spellEnd"/>
      <w:r w:rsidR="00AD7BF4" w:rsidRPr="00AD7BF4">
        <w:rPr>
          <w:rFonts w:ascii="Calibri" w:hAnsi="Calibri" w:cs="Calibri"/>
        </w:rPr>
        <w:t xml:space="preserve"> Triple Aim?</w:t>
      </w:r>
    </w:p>
    <w:p w:rsidR="00AD7BF4" w:rsidRPr="00AD7BF4" w:rsidRDefault="00AD7BF4" w:rsidP="00AD7BF4">
      <w:pPr>
        <w:rPr>
          <w:rFonts w:ascii="Calibri" w:hAnsi="Calibri" w:cs="Calibri"/>
          <w:color w:val="000000"/>
        </w:rPr>
      </w:pPr>
      <w:r w:rsidRPr="00AD7BF4">
        <w:rPr>
          <w:rFonts w:ascii="Calibri" w:hAnsi="Calibri" w:cs="Calibri"/>
          <w:color w:val="000000"/>
        </w:rPr>
        <w:t xml:space="preserve">The IHI Triple Aim is a framework developed by the </w:t>
      </w:r>
      <w:r>
        <w:rPr>
          <w:rFonts w:ascii="Calibri" w:hAnsi="Calibri" w:cs="Calibri"/>
          <w:color w:val="000000"/>
        </w:rPr>
        <w:t xml:space="preserve">American </w:t>
      </w:r>
      <w:r w:rsidRPr="00AD7BF4">
        <w:rPr>
          <w:rFonts w:ascii="Calibri" w:hAnsi="Calibri" w:cs="Calibri"/>
          <w:color w:val="000000"/>
        </w:rPr>
        <w:t xml:space="preserve">Institute for Healthcare Improvement that describes an approach to optimizing health system performance. It is </w:t>
      </w:r>
      <w:proofErr w:type="spellStart"/>
      <w:r w:rsidRPr="00AD7BF4">
        <w:rPr>
          <w:rFonts w:ascii="Calibri" w:hAnsi="Calibri" w:cs="Calibri"/>
          <w:color w:val="000000"/>
        </w:rPr>
        <w:t>IHI’s</w:t>
      </w:r>
      <w:proofErr w:type="spellEnd"/>
      <w:r w:rsidRPr="00AD7BF4">
        <w:rPr>
          <w:rFonts w:ascii="Calibri" w:hAnsi="Calibri" w:cs="Calibri"/>
          <w:color w:val="000000"/>
        </w:rPr>
        <w:t xml:space="preserve"> belief that new designs must be developed to simultaneously pursue three dimensions, which we call the “Triple Aim”:</w:t>
      </w:r>
    </w:p>
    <w:p w:rsidR="00AD7BF4" w:rsidRPr="00AD7BF4" w:rsidRDefault="00AD7BF4" w:rsidP="00AD7BF4">
      <w:pPr>
        <w:rPr>
          <w:rFonts w:ascii="Calibri" w:hAnsi="Calibri" w:cs="Calibri"/>
          <w:color w:val="000000"/>
        </w:rPr>
      </w:pPr>
      <w:r w:rsidRPr="00AD7BF4">
        <w:rPr>
          <w:rFonts w:ascii="Calibri" w:hAnsi="Calibri" w:cs="Calibri"/>
          <w:color w:val="000000"/>
        </w:rPr>
        <w:t>•Improving the patient experience of care (including quality and satisfaction);</w:t>
      </w:r>
    </w:p>
    <w:p w:rsidR="00AD7BF4" w:rsidRPr="00AD7BF4" w:rsidRDefault="00AD7BF4" w:rsidP="00AD7BF4">
      <w:pPr>
        <w:rPr>
          <w:rFonts w:ascii="Calibri" w:hAnsi="Calibri" w:cs="Calibri"/>
          <w:color w:val="000000"/>
        </w:rPr>
      </w:pPr>
      <w:r w:rsidRPr="00AD7BF4">
        <w:rPr>
          <w:rFonts w:ascii="Calibri" w:hAnsi="Calibri" w:cs="Calibri"/>
          <w:color w:val="000000"/>
        </w:rPr>
        <w:t>•Improving the health of populations; and</w:t>
      </w:r>
    </w:p>
    <w:p w:rsidR="00AD7BF4" w:rsidRDefault="00AD7BF4" w:rsidP="00AD7BF4">
      <w:pPr>
        <w:rPr>
          <w:rFonts w:ascii="Calibri" w:hAnsi="Calibri" w:cs="Calibri"/>
          <w:color w:val="000000"/>
        </w:rPr>
      </w:pPr>
      <w:r w:rsidRPr="00AD7BF4">
        <w:rPr>
          <w:rFonts w:ascii="Calibri" w:hAnsi="Calibri" w:cs="Calibri"/>
          <w:color w:val="000000"/>
        </w:rPr>
        <w:t>•Reducing the per capita cost of health care.</w:t>
      </w:r>
    </w:p>
    <w:p w:rsidR="00AD7BF4" w:rsidRDefault="00AD7BF4" w:rsidP="00AD7BF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Or </w:t>
      </w:r>
      <w:proofErr w:type="spellStart"/>
      <w:r>
        <w:rPr>
          <w:rFonts w:ascii="Calibri" w:hAnsi="Calibri" w:cs="Calibri"/>
          <w:color w:val="000000"/>
        </w:rPr>
        <w:t>Juran's</w:t>
      </w:r>
      <w:proofErr w:type="spellEnd"/>
      <w:r>
        <w:rPr>
          <w:rFonts w:ascii="Calibri" w:hAnsi="Calibri" w:cs="Calibri"/>
          <w:color w:val="000000"/>
        </w:rPr>
        <w:t xml:space="preserve"> Trilogy of</w:t>
      </w:r>
      <w:r w:rsidR="001B4F2B">
        <w:rPr>
          <w:rFonts w:ascii="Calibri" w:hAnsi="Calibri" w:cs="Calibri"/>
          <w:color w:val="000000"/>
        </w:rPr>
        <w:t xml:space="preserve"> Quality Planning (QP), Quality Control (QC) and Quality Improvement (QI). Here </w:t>
      </w:r>
      <w:proofErr w:type="spellStart"/>
      <w:r w:rsidR="001B4F2B">
        <w:rPr>
          <w:rFonts w:ascii="Calibri" w:hAnsi="Calibri" w:cs="Calibri"/>
          <w:color w:val="000000"/>
        </w:rPr>
        <w:t>Juran</w:t>
      </w:r>
      <w:proofErr w:type="spellEnd"/>
      <w:r w:rsidR="001B4F2B">
        <w:rPr>
          <w:rFonts w:ascii="Calibri" w:hAnsi="Calibri" w:cs="Calibri"/>
          <w:color w:val="000000"/>
        </w:rPr>
        <w:t xml:space="preserve"> refers his definition of quality i.e. Big Q and not the </w:t>
      </w:r>
      <w:proofErr w:type="spellStart"/>
      <w:r w:rsidR="001B4F2B">
        <w:rPr>
          <w:rFonts w:ascii="Calibri" w:hAnsi="Calibri" w:cs="Calibri"/>
          <w:color w:val="000000"/>
        </w:rPr>
        <w:t>NHS's</w:t>
      </w:r>
      <w:proofErr w:type="spellEnd"/>
      <w:r w:rsidR="001B4F2B">
        <w:rPr>
          <w:rFonts w:ascii="Calibri" w:hAnsi="Calibri" w:cs="Calibri"/>
          <w:color w:val="000000"/>
        </w:rPr>
        <w:t xml:space="preserve"> definition which </w:t>
      </w:r>
      <w:proofErr w:type="spellStart"/>
      <w:r w:rsidR="001B4F2B">
        <w:rPr>
          <w:rFonts w:ascii="Calibri" w:hAnsi="Calibri" w:cs="Calibri"/>
          <w:color w:val="000000"/>
        </w:rPr>
        <w:t>Juran</w:t>
      </w:r>
      <w:proofErr w:type="spellEnd"/>
      <w:r w:rsidR="001B4F2B">
        <w:rPr>
          <w:rFonts w:ascii="Calibri" w:hAnsi="Calibri" w:cs="Calibri"/>
          <w:color w:val="000000"/>
        </w:rPr>
        <w:t xml:space="preserve"> calls little q.</w:t>
      </w:r>
    </w:p>
    <w:p w:rsidR="009F6BED" w:rsidRDefault="009F6BED" w:rsidP="005F34F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Once standard wo</w:t>
      </w:r>
      <w:r w:rsidR="006811C2">
        <w:rPr>
          <w:rFonts w:ascii="Calibri" w:hAnsi="Calibri" w:cs="Calibri"/>
          <w:color w:val="000000"/>
        </w:rPr>
        <w:t>rk, which will be focused on the</w:t>
      </w:r>
      <w:r>
        <w:rPr>
          <w:rFonts w:ascii="Calibri" w:hAnsi="Calibri" w:cs="Calibri"/>
          <w:color w:val="000000"/>
        </w:rPr>
        <w:t xml:space="preserve"> </w:t>
      </w:r>
      <w:r w:rsidR="00C8604A">
        <w:rPr>
          <w:rFonts w:ascii="Calibri" w:hAnsi="Calibri" w:cs="Calibri"/>
          <w:color w:val="000000"/>
        </w:rPr>
        <w:t>organization’s</w:t>
      </w:r>
      <w:r w:rsidR="00CB7E0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aim, has been designed and documented this will provide a baseline</w:t>
      </w:r>
      <w:r w:rsidR="0089229C">
        <w:rPr>
          <w:rFonts w:ascii="Calibri" w:hAnsi="Calibri" w:cs="Calibri"/>
          <w:color w:val="000000"/>
        </w:rPr>
        <w:t xml:space="preserve"> specification for the other elements</w:t>
      </w:r>
      <w:r w:rsidR="006811C2">
        <w:rPr>
          <w:rFonts w:ascii="Calibri" w:hAnsi="Calibri" w:cs="Calibri"/>
          <w:color w:val="000000"/>
        </w:rPr>
        <w:t xml:space="preserve"> required to support their </w:t>
      </w:r>
      <w:r>
        <w:rPr>
          <w:rFonts w:ascii="Calibri" w:hAnsi="Calibri" w:cs="Calibri"/>
          <w:color w:val="000000"/>
        </w:rPr>
        <w:t xml:space="preserve"> work i.e. Digital</w:t>
      </w:r>
      <w:r w:rsidR="00CB7E0F">
        <w:rPr>
          <w:rFonts w:ascii="Calibri" w:hAnsi="Calibri" w:cs="Calibri"/>
          <w:color w:val="000000"/>
        </w:rPr>
        <w:t xml:space="preserve"> applications</w:t>
      </w:r>
      <w:r>
        <w:rPr>
          <w:rFonts w:ascii="Calibri" w:hAnsi="Calibri" w:cs="Calibri"/>
          <w:color w:val="000000"/>
        </w:rPr>
        <w:t>, to be designed with that same focus</w:t>
      </w:r>
      <w:r w:rsidR="0089229C">
        <w:rPr>
          <w:rFonts w:ascii="Calibri" w:hAnsi="Calibri" w:cs="Calibri"/>
          <w:color w:val="000000"/>
        </w:rPr>
        <w:t xml:space="preserve"> on our aim</w:t>
      </w:r>
      <w:r>
        <w:rPr>
          <w:rFonts w:ascii="Calibri" w:hAnsi="Calibri" w:cs="Calibri"/>
          <w:color w:val="000000"/>
        </w:rPr>
        <w:t>.</w:t>
      </w:r>
      <w:r w:rsidR="0089229C">
        <w:rPr>
          <w:rFonts w:ascii="Calibri" w:hAnsi="Calibri" w:cs="Calibri"/>
          <w:color w:val="000000"/>
        </w:rPr>
        <w:t xml:space="preserve"> How many </w:t>
      </w:r>
      <w:r w:rsidR="00CB7E0F">
        <w:rPr>
          <w:rFonts w:ascii="Calibri" w:hAnsi="Calibri" w:cs="Calibri"/>
          <w:color w:val="000000"/>
        </w:rPr>
        <w:t xml:space="preserve">paper based or online </w:t>
      </w:r>
      <w:r w:rsidR="0089229C">
        <w:rPr>
          <w:rFonts w:ascii="Calibri" w:hAnsi="Calibri" w:cs="Calibri"/>
          <w:color w:val="000000"/>
        </w:rPr>
        <w:t xml:space="preserve">forms are still being used in our day to day work that no </w:t>
      </w:r>
      <w:r w:rsidR="006811C2">
        <w:rPr>
          <w:rFonts w:ascii="Calibri" w:hAnsi="Calibri" w:cs="Calibri"/>
          <w:color w:val="000000"/>
        </w:rPr>
        <w:t>longer focus on the organization's</w:t>
      </w:r>
      <w:r w:rsidR="0089229C">
        <w:rPr>
          <w:rFonts w:ascii="Calibri" w:hAnsi="Calibri" w:cs="Calibri"/>
          <w:color w:val="000000"/>
        </w:rPr>
        <w:t xml:space="preserve"> aim?</w:t>
      </w:r>
    </w:p>
    <w:p w:rsidR="00512BB5" w:rsidRDefault="00512BB5" w:rsidP="005F34F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Standard work is simply a description of what we actually do when at work divided into </w:t>
      </w:r>
      <w:r w:rsidR="00CB7E0F">
        <w:rPr>
          <w:rFonts w:ascii="Calibri" w:hAnsi="Calibri" w:cs="Calibri"/>
          <w:color w:val="000000"/>
        </w:rPr>
        <w:t xml:space="preserve">defined </w:t>
      </w:r>
      <w:r>
        <w:rPr>
          <w:rFonts w:ascii="Calibri" w:hAnsi="Calibri" w:cs="Calibri"/>
          <w:color w:val="000000"/>
        </w:rPr>
        <w:t>processes.</w:t>
      </w:r>
      <w:r w:rsidR="00A816C3">
        <w:rPr>
          <w:rFonts w:ascii="Calibri" w:hAnsi="Calibri" w:cs="Calibri"/>
          <w:color w:val="000000"/>
        </w:rPr>
        <w:t xml:space="preserve"> </w:t>
      </w:r>
      <w:r w:rsidR="00B17570">
        <w:rPr>
          <w:rFonts w:ascii="Calibri" w:hAnsi="Calibri" w:cs="Calibri"/>
          <w:color w:val="000000"/>
        </w:rPr>
        <w:t>The documentation of standard work can be achieved in a number of ways but should always relate to specific processes. Each</w:t>
      </w:r>
      <w:r w:rsidR="00C8604A">
        <w:rPr>
          <w:rFonts w:ascii="Calibri" w:hAnsi="Calibri" w:cs="Calibri"/>
          <w:color w:val="000000"/>
        </w:rPr>
        <w:t xml:space="preserve"> process being the subject of a </w:t>
      </w:r>
      <w:r w:rsidR="00B17570">
        <w:rPr>
          <w:rFonts w:ascii="Calibri" w:hAnsi="Calibri" w:cs="Calibri"/>
          <w:color w:val="000000"/>
        </w:rPr>
        <w:t xml:space="preserve">standard work documentation set. A standard work documentation set can consist of first a process illustration (visualization) which usually takes the form of a flow chart. The flow chart identifies the series of steps required to complete the process. Each step, depending on its complexity, will have some </w:t>
      </w:r>
      <w:r w:rsidR="00B17570">
        <w:rPr>
          <w:rFonts w:ascii="Calibri" w:hAnsi="Calibri" w:cs="Calibri"/>
          <w:color w:val="000000"/>
        </w:rPr>
        <w:lastRenderedPageBreak/>
        <w:t>associated procedure, guidance, work instruction etc. Policy, regulation</w:t>
      </w:r>
      <w:r w:rsidR="00CB7E0F">
        <w:rPr>
          <w:rFonts w:ascii="Calibri" w:hAnsi="Calibri" w:cs="Calibri"/>
          <w:color w:val="000000"/>
        </w:rPr>
        <w:t>s</w:t>
      </w:r>
      <w:r w:rsidR="00B17570">
        <w:rPr>
          <w:rFonts w:ascii="Calibri" w:hAnsi="Calibri" w:cs="Calibri"/>
          <w:color w:val="000000"/>
        </w:rPr>
        <w:t xml:space="preserve"> and standard</w:t>
      </w:r>
      <w:r w:rsidR="00CB7E0F">
        <w:rPr>
          <w:rFonts w:ascii="Calibri" w:hAnsi="Calibri" w:cs="Calibri"/>
          <w:color w:val="000000"/>
        </w:rPr>
        <w:t>s</w:t>
      </w:r>
      <w:r w:rsidR="00B17570">
        <w:rPr>
          <w:rFonts w:ascii="Calibri" w:hAnsi="Calibri" w:cs="Calibri"/>
          <w:color w:val="000000"/>
        </w:rPr>
        <w:t>, relating to the process, will be identified and their requirements met in the process design</w:t>
      </w:r>
      <w:r w:rsidR="00C20486">
        <w:rPr>
          <w:rFonts w:ascii="Calibri" w:hAnsi="Calibri" w:cs="Calibri"/>
          <w:color w:val="000000"/>
        </w:rPr>
        <w:t>. Importantly Patient Safety will be designed into each process in a</w:t>
      </w:r>
      <w:r w:rsidR="00CB7E0F">
        <w:rPr>
          <w:rFonts w:ascii="Calibri" w:hAnsi="Calibri" w:cs="Calibri"/>
          <w:color w:val="000000"/>
        </w:rPr>
        <w:t>ddition to the human factors relevant for</w:t>
      </w:r>
      <w:r w:rsidR="00C20486">
        <w:rPr>
          <w:rFonts w:ascii="Calibri" w:hAnsi="Calibri" w:cs="Calibri"/>
          <w:color w:val="000000"/>
        </w:rPr>
        <w:t xml:space="preserve"> the people doing the work.</w:t>
      </w:r>
    </w:p>
    <w:p w:rsidR="00C20486" w:rsidRDefault="00C20486" w:rsidP="005F34F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Digital technologies should be fully utilised in publishing this documentation set negating the requirement for any printed material.</w:t>
      </w:r>
      <w:r w:rsidR="00046236">
        <w:rPr>
          <w:rFonts w:ascii="Calibri" w:hAnsi="Calibri" w:cs="Calibri"/>
          <w:color w:val="000000"/>
        </w:rPr>
        <w:t xml:space="preserve"> An example of this can be found at </w:t>
      </w:r>
      <w:hyperlink r:id="rId16" w:history="1">
        <w:r w:rsidR="00EF3502" w:rsidRPr="00EF3502">
          <w:rPr>
            <w:rStyle w:val="Hyperlink"/>
            <w:rFonts w:ascii="Calibri" w:hAnsi="Calibri" w:cs="Calibri"/>
          </w:rPr>
          <w:t>http://www.cat</w:t>
        </w:r>
        <w:r w:rsidR="00EF3502" w:rsidRPr="00EF3502">
          <w:rPr>
            <w:rStyle w:val="Hyperlink"/>
            <w:rFonts w:ascii="Calibri" w:hAnsi="Calibri" w:cs="Calibri"/>
          </w:rPr>
          <w:t>m</w:t>
        </w:r>
        <w:r w:rsidR="00EF3502" w:rsidRPr="00EF3502">
          <w:rPr>
            <w:rStyle w:val="Hyperlink"/>
            <w:rFonts w:ascii="Calibri" w:hAnsi="Calibri" w:cs="Calibri"/>
          </w:rPr>
          <w:t>alvern.co.uk/nhs</w:t>
        </w:r>
      </w:hyperlink>
      <w:r w:rsidR="00046236">
        <w:rPr>
          <w:rFonts w:ascii="Calibri" w:hAnsi="Calibri" w:cs="Calibri"/>
          <w:color w:val="000000"/>
        </w:rPr>
        <w:t xml:space="preserve">where the </w:t>
      </w:r>
      <w:proofErr w:type="spellStart"/>
      <w:r w:rsidR="00046236">
        <w:rPr>
          <w:rFonts w:ascii="Calibri" w:hAnsi="Calibri" w:cs="Calibri"/>
          <w:color w:val="000000"/>
        </w:rPr>
        <w:t>Busyfish</w:t>
      </w:r>
      <w:proofErr w:type="spellEnd"/>
      <w:r w:rsidR="00046236">
        <w:rPr>
          <w:rFonts w:ascii="Calibri" w:hAnsi="Calibri" w:cs="Calibri"/>
          <w:color w:val="000000"/>
        </w:rPr>
        <w:t xml:space="preserve"> Process Visualization Methodology (BPVM) is used to display standard work. Links from text in a flowchart representation of the process allows the reader to drill down to procedures and guidance for each task in the process.</w:t>
      </w:r>
    </w:p>
    <w:p w:rsidR="003064CD" w:rsidRDefault="003064CD" w:rsidP="005F34FC">
      <w:pPr>
        <w:rPr>
          <w:rFonts w:ascii="Calibri" w:hAnsi="Calibri" w:cs="Calibri"/>
          <w:color w:val="000000"/>
        </w:rPr>
      </w:pPr>
    </w:p>
    <w:p w:rsidR="005F34FC" w:rsidRPr="005F34FC" w:rsidRDefault="005F34FC" w:rsidP="005F34FC">
      <w:pPr>
        <w:rPr>
          <w:rFonts w:ascii="Calibri" w:hAnsi="Calibri" w:cs="Calibri"/>
          <w:color w:val="000000"/>
        </w:rPr>
      </w:pPr>
    </w:p>
    <w:p w:rsidR="00DC04BA" w:rsidRDefault="00DC04BA" w:rsidP="005B58E7">
      <w:pPr>
        <w:rPr>
          <w:rFonts w:ascii="Calibri" w:hAnsi="Calibri" w:cs="Calibri"/>
          <w:color w:val="000000"/>
        </w:rPr>
      </w:pPr>
    </w:p>
    <w:sectPr w:rsidR="00DC04BA" w:rsidSect="002A6B0D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B03" w:rsidRDefault="00EA7B03" w:rsidP="000D3A5B">
      <w:pPr>
        <w:spacing w:after="0" w:line="240" w:lineRule="auto"/>
      </w:pPr>
      <w:r>
        <w:separator/>
      </w:r>
    </w:p>
  </w:endnote>
  <w:endnote w:type="continuationSeparator" w:id="0">
    <w:p w:rsidR="00EA7B03" w:rsidRDefault="00EA7B03" w:rsidP="000D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215235"/>
      <w:docPartObj>
        <w:docPartGallery w:val="Page Numbers (Bottom of Page)"/>
        <w:docPartUnique/>
      </w:docPartObj>
    </w:sdtPr>
    <w:sdtContent>
      <w:p w:rsidR="008A4D59" w:rsidRDefault="006E279B">
        <w:pPr>
          <w:pStyle w:val="Footer"/>
          <w:jc w:val="center"/>
        </w:pPr>
        <w:fldSimple w:instr=" PAGE   \* MERGEFORMAT ">
          <w:r w:rsidR="00EF3502">
            <w:rPr>
              <w:noProof/>
            </w:rPr>
            <w:t>4</w:t>
          </w:r>
        </w:fldSimple>
      </w:p>
      <w:p w:rsidR="000D3A5B" w:rsidRDefault="008A4D59" w:rsidP="008A4D59">
        <w:pPr>
          <w:pStyle w:val="Footer"/>
        </w:pPr>
        <w:r>
          <w:t>Tuesday, 08 October 2019</w:t>
        </w:r>
      </w:p>
    </w:sdtContent>
  </w:sdt>
  <w:p w:rsidR="000D3A5B" w:rsidRDefault="000D3A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B03" w:rsidRDefault="00EA7B03" w:rsidP="000D3A5B">
      <w:pPr>
        <w:spacing w:after="0" w:line="240" w:lineRule="auto"/>
      </w:pPr>
      <w:r>
        <w:separator/>
      </w:r>
    </w:p>
  </w:footnote>
  <w:footnote w:type="continuationSeparator" w:id="0">
    <w:p w:rsidR="00EA7B03" w:rsidRDefault="00EA7B03" w:rsidP="000D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59" w:rsidRDefault="008A4D59">
    <w:pPr>
      <w:pStyle w:val="Header"/>
    </w:pPr>
    <w:r>
      <w:t>Paper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47FA"/>
    <w:multiLevelType w:val="hybridMultilevel"/>
    <w:tmpl w:val="2FC8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E600D"/>
    <w:multiLevelType w:val="multilevel"/>
    <w:tmpl w:val="CE7E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F25372"/>
    <w:multiLevelType w:val="hybridMultilevel"/>
    <w:tmpl w:val="16AE4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E7"/>
    <w:rsid w:val="0003129A"/>
    <w:rsid w:val="00046236"/>
    <w:rsid w:val="000D3A5B"/>
    <w:rsid w:val="000D5B1C"/>
    <w:rsid w:val="000F1C52"/>
    <w:rsid w:val="00101879"/>
    <w:rsid w:val="00122A68"/>
    <w:rsid w:val="001B4F2B"/>
    <w:rsid w:val="00231F69"/>
    <w:rsid w:val="002601AE"/>
    <w:rsid w:val="002729F4"/>
    <w:rsid w:val="00292F69"/>
    <w:rsid w:val="002A6B0D"/>
    <w:rsid w:val="002F108B"/>
    <w:rsid w:val="003064CD"/>
    <w:rsid w:val="0034757D"/>
    <w:rsid w:val="00356B6E"/>
    <w:rsid w:val="003A04E7"/>
    <w:rsid w:val="003C2E9E"/>
    <w:rsid w:val="003D56CF"/>
    <w:rsid w:val="00507520"/>
    <w:rsid w:val="00512BB5"/>
    <w:rsid w:val="005551C8"/>
    <w:rsid w:val="005B108C"/>
    <w:rsid w:val="005B58E7"/>
    <w:rsid w:val="005D7BA5"/>
    <w:rsid w:val="005E2E4B"/>
    <w:rsid w:val="005F34FC"/>
    <w:rsid w:val="00631601"/>
    <w:rsid w:val="0065565C"/>
    <w:rsid w:val="0066600C"/>
    <w:rsid w:val="006800AD"/>
    <w:rsid w:val="006811C2"/>
    <w:rsid w:val="006B7DDE"/>
    <w:rsid w:val="006E279B"/>
    <w:rsid w:val="00703E5A"/>
    <w:rsid w:val="00705C39"/>
    <w:rsid w:val="00715094"/>
    <w:rsid w:val="00733A79"/>
    <w:rsid w:val="0074398E"/>
    <w:rsid w:val="00752B92"/>
    <w:rsid w:val="00773E8F"/>
    <w:rsid w:val="0089229C"/>
    <w:rsid w:val="008A0B69"/>
    <w:rsid w:val="008A4D59"/>
    <w:rsid w:val="008F3378"/>
    <w:rsid w:val="009434DA"/>
    <w:rsid w:val="009B5743"/>
    <w:rsid w:val="009F6BED"/>
    <w:rsid w:val="00A131D4"/>
    <w:rsid w:val="00A816C3"/>
    <w:rsid w:val="00AD7BF4"/>
    <w:rsid w:val="00AE30D2"/>
    <w:rsid w:val="00B17570"/>
    <w:rsid w:val="00B55D56"/>
    <w:rsid w:val="00BC7852"/>
    <w:rsid w:val="00BE4D50"/>
    <w:rsid w:val="00C20486"/>
    <w:rsid w:val="00C374F9"/>
    <w:rsid w:val="00C73480"/>
    <w:rsid w:val="00C80CC7"/>
    <w:rsid w:val="00C8258F"/>
    <w:rsid w:val="00C8604A"/>
    <w:rsid w:val="00C9005C"/>
    <w:rsid w:val="00C90116"/>
    <w:rsid w:val="00CB7E0F"/>
    <w:rsid w:val="00D32447"/>
    <w:rsid w:val="00D47DD1"/>
    <w:rsid w:val="00D57EA6"/>
    <w:rsid w:val="00DA5BCA"/>
    <w:rsid w:val="00DC04BA"/>
    <w:rsid w:val="00E42DDD"/>
    <w:rsid w:val="00EA7B03"/>
    <w:rsid w:val="00EF3502"/>
    <w:rsid w:val="00F36A68"/>
    <w:rsid w:val="00F84C66"/>
    <w:rsid w:val="00F9127D"/>
    <w:rsid w:val="00FC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58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04BA"/>
    <w:rPr>
      <w:strike w:val="0"/>
      <w:dstrike w:val="0"/>
      <w:color w:val="004F7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DC04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04B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04B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BA"/>
    <w:rPr>
      <w:rFonts w:ascii="Tahoma" w:hAnsi="Tahoma" w:cs="Tahoma"/>
      <w:sz w:val="16"/>
      <w:szCs w:val="16"/>
    </w:rPr>
  </w:style>
  <w:style w:type="paragraph" w:customStyle="1" w:styleId="lead">
    <w:name w:val="lead"/>
    <w:basedOn w:val="Normal"/>
    <w:rsid w:val="00122A68"/>
    <w:pPr>
      <w:spacing w:after="360" w:line="420" w:lineRule="atLeast"/>
    </w:pPr>
    <w:rPr>
      <w:rFonts w:ascii="Times New Roman" w:eastAsia="Times New Roman" w:hAnsi="Times New Roman" w:cs="Times New Roman"/>
      <w:sz w:val="30"/>
      <w:szCs w:val="30"/>
      <w:lang w:eastAsia="en-GB"/>
    </w:rPr>
  </w:style>
  <w:style w:type="paragraph" w:styleId="ListParagraph">
    <w:name w:val="List Paragraph"/>
    <w:basedOn w:val="Normal"/>
    <w:uiPriority w:val="34"/>
    <w:qFormat/>
    <w:rsid w:val="006B7D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3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A5B"/>
  </w:style>
  <w:style w:type="paragraph" w:styleId="Footer">
    <w:name w:val="footer"/>
    <w:basedOn w:val="Normal"/>
    <w:link w:val="FooterChar"/>
    <w:uiPriority w:val="99"/>
    <w:unhideWhenUsed/>
    <w:rsid w:val="000D3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A5B"/>
  </w:style>
  <w:style w:type="character" w:styleId="FollowedHyperlink">
    <w:name w:val="FollowedHyperlink"/>
    <w:basedOn w:val="DefaultParagraphFont"/>
    <w:uiPriority w:val="99"/>
    <w:semiHidden/>
    <w:unhideWhenUsed/>
    <w:rsid w:val="000462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2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8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705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monline.co.uk/contents/procedures" TargetMode="External"/><Relationship Id="rId13" Type="http://schemas.openxmlformats.org/officeDocument/2006/relationships/hyperlink" Target=":%20https:/www.nice.org.uk/guidanc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ales.nhs.uk/sitesplus/documents/861/Wipp%20Using%20Protocols%2Cstandards%2C%20policies%20and%20guidelines.pdf" TargetMode="External"/><Relationship Id="rId12" Type="http://schemas.openxmlformats.org/officeDocument/2006/relationships/hyperlink" Target="https://www.nice.org.uk/about/what-we-do/evidence-servic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atmalvern.co.uk/nh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standards-and-indicato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gewaysconsulting.com/wp-content/uploads/2017/03/ComplexityLeadershipTheory_HRPS_39.2_Arena_Uhl_Bien.pdf" TargetMode="External"/><Relationship Id="rId10" Type="http://schemas.openxmlformats.org/officeDocument/2006/relationships/hyperlink" Target="https://www.nice.org.uk/about/what-we-do/our-programmes/nice-advic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about/what-we-do/our-programmes/nice-guidance" TargetMode="External"/><Relationship Id="rId14" Type="http://schemas.openxmlformats.org/officeDocument/2006/relationships/hyperlink" Target="https://www.bestpractice.bmj.com/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Rose</dc:creator>
  <cp:lastModifiedBy>Tom Rose</cp:lastModifiedBy>
  <cp:revision>25</cp:revision>
  <cp:lastPrinted>2019-07-15T10:25:00Z</cp:lastPrinted>
  <dcterms:created xsi:type="dcterms:W3CDTF">2019-07-09T08:50:00Z</dcterms:created>
  <dcterms:modified xsi:type="dcterms:W3CDTF">2019-11-04T12:23:00Z</dcterms:modified>
</cp:coreProperties>
</file>